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rFonts w:ascii="Calibri" w:cs="Calibri" w:eastAsia="Calibri" w:hAnsi="Calibri"/>
          <w:b/>
          <w:bCs/>
          <w:sz w:val="32"/>
          <w:szCs w:val="32"/>
        </w:rPr>
        <w:t xml:space="preserve">TRACEY BONNER</w:t>
      </w:r>
    </w:p>
    <w:p>
      <w:pPr>
        <w:spacing w:after="40"/>
        <w:jc w:val="center"/>
      </w:pPr>
      <w:r>
        <w:rPr>
          <w:rFonts w:ascii="Calibri" w:cs="Calibri" w:eastAsia="Calibri" w:hAnsi="Calibri"/>
          <w:b/>
          <w:bCs/>
          <w:sz w:val="22"/>
          <w:szCs w:val="22"/>
        </w:rPr>
        <w:t xml:space="preserve">Performing Arts Operations and Venue Leader | Revenue Strategy | Academic and Non-Profit Leadership</w:t>
      </w:r>
    </w:p>
    <w:p>
      <w:pPr>
        <w:spacing w:after="160"/>
        <w:jc w:val="center"/>
      </w:pPr>
      <w:r>
        <w:rPr>
          <w:rFonts w:ascii="Calibri" w:cs="Calibri" w:eastAsia="Calibri" w:hAnsi="Calibri"/>
          <w:sz w:val="20"/>
          <w:szCs w:val="20"/>
        </w:rPr>
        <w:t xml:space="preserve">Cincinnati, OH | 646-345-9516 | traceybonner@me.com | linkedin.com/in/traceybonner | traceybonner.com</w:t>
      </w:r>
    </w:p>
    <w:p>
      <w:pPr>
        <w:pBdr>
          <w:bottom w:val="single" w:color="000000" w:sz="6" w:space="2"/>
        </w:pBdr>
        <w:spacing w:after="100" w:before="200"/>
      </w:pPr>
      <w:r>
        <w:rPr>
          <w:rFonts w:ascii="Calibri" w:cs="Calibri" w:eastAsia="Calibri" w:hAnsi="Calibri"/>
          <w:b/>
          <w:bCs/>
          <w:caps/>
          <w:sz w:val="22"/>
          <w:szCs w:val="22"/>
        </w:rPr>
        <w:t xml:space="preserve">Professional Summary</w:t>
      </w:r>
    </w:p>
    <w:p>
      <w:pPr>
        <w:spacing w:after="60"/>
      </w:pPr>
      <w:r>
        <w:rPr>
          <w:rFonts w:ascii="Calibri" w:cs="Calibri" w:eastAsia="Calibri" w:hAnsi="Calibri"/>
          <w:sz w:val="20"/>
          <w:szCs w:val="20"/>
        </w:rPr>
        <w:t xml:space="preserve">Performing arts leader who has run both sides of the field: eight years directing a tenured academic program after a decade as a professional performer, and a career running revenue, patron, and donor operations at non-profit arts organizations including Barrington Stage Company, Jacob’s Pillow, and Dayton Performing Arts Alliance. Grew a program from 4 to 35 majors and served as strategic lead on a $1.5M capital campaign for a new dance studio facility. At Barrington Stage Company, a $6M organization, increased revenue by more than $200K in a single season, negotiated and signed venue rental agreements, migrated 100,000+ records to a new ticketing and CRM platform, and led a team of 20+ with 100% retention of mid-level staff. Builds teams, systems, and partnerships that make performance spaces run well and pay for themselves.</w:t>
      </w:r>
    </w:p>
    <w:p>
      <w:pPr>
        <w:pBdr>
          <w:bottom w:val="single" w:color="000000" w:sz="6" w:space="2"/>
        </w:pBdr>
        <w:spacing w:after="100" w:before="200"/>
      </w:pPr>
      <w:r>
        <w:rPr>
          <w:rFonts w:ascii="Calibri" w:cs="Calibri" w:eastAsia="Calibri" w:hAnsi="Calibri"/>
          <w:b/>
          <w:bCs/>
          <w:caps/>
          <w:sz w:val="22"/>
          <w:szCs w:val="22"/>
        </w:rPr>
        <w:t xml:space="preserve">Core Skills</w:t>
      </w:r>
    </w:p>
    <w:p>
      <w:pPr>
        <w:spacing w:after="60"/>
      </w:pPr>
      <w:r>
        <w:rPr>
          <w:rFonts w:ascii="Calibri" w:cs="Calibri" w:eastAsia="Calibri" w:hAnsi="Calibri"/>
          <w:sz w:val="20"/>
          <w:szCs w:val="20"/>
        </w:rPr>
        <w:t xml:space="preserve">Performing Arts Operations | Box Office and Ticketing | Earned Revenue and Dynamic Pricing | P&amp;L and Budget Management | Capital Campaigns and Capital Projects | Donor and Grant Development | Team Leadership and Mentorship | CRM and Data Systems (Tessitura, Spektrix, ThunderTix, Raiser’s Edge) | Venue Rentals and Contract Negotiation | Food and Beverage Operations | Facilities Coordination, Safety, and ADA Compliance | Vendor Management | Risk Management | Academic Program Development and Accreditation | Cross-Campus and Community Partnerships | Strategic Planning | Patron and Guest Experience | Retail and Concessions Operations</w:t>
      </w:r>
    </w:p>
    <w:p>
      <w:pPr>
        <w:pBdr>
          <w:bottom w:val="single" w:color="000000" w:sz="6" w:space="2"/>
        </w:pBdr>
        <w:spacing w:after="100" w:before="200"/>
      </w:pPr>
      <w:r>
        <w:rPr>
          <w:rFonts w:ascii="Calibri" w:cs="Calibri" w:eastAsia="Calibri" w:hAnsi="Calibri"/>
          <w:b/>
          <w:bCs/>
          <w:caps/>
          <w:sz w:val="22"/>
          <w:szCs w:val="22"/>
        </w:rPr>
        <w:t xml:space="preserve">Professional Experience</w:t>
      </w:r>
    </w:p>
    <w:p>
      <w:pPr>
        <w:keepNext/>
        <w:spacing w:after="20" w:before="140"/>
      </w:pPr>
      <w:r>
        <w:rPr>
          <w:rFonts w:ascii="Calibri" w:cs="Calibri" w:eastAsia="Calibri" w:hAnsi="Calibri"/>
          <w:b/>
          <w:bCs/>
          <w:sz w:val="20"/>
          <w:szCs w:val="20"/>
        </w:rPr>
        <w:t xml:space="preserve">Barrington Stage Company (Tony Award-winning regional theatre, $6M organization) | Pittsfield, MA</w:t>
      </w:r>
    </w:p>
    <w:p>
      <w:pPr>
        <w:keepNext/>
        <w:spacing w:after="60"/>
      </w:pPr>
      <w:r>
        <w:rPr>
          <w:rFonts w:ascii="Calibri" w:cs="Calibri" w:eastAsia="Calibri" w:hAnsi="Calibri"/>
          <w:i/>
          <w:iCs/>
          <w:sz w:val="20"/>
          <w:szCs w:val="20"/>
        </w:rPr>
        <w:t xml:space="preserve">Director of Guest Services and Sales | 2024-Present</w:t>
      </w:r>
    </w:p>
    <w:p>
      <w:pPr>
        <w:pStyle w:val="ListParagraph"/>
        <w:numPr>
          <w:ilvl w:val="0"/>
          <w:numId w:val="2"/>
        </w:numPr>
        <w:spacing w:after="40"/>
      </w:pPr>
      <w:r>
        <w:rPr>
          <w:rFonts w:ascii="Calibri" w:cs="Calibri" w:eastAsia="Calibri" w:hAnsi="Calibri"/>
          <w:sz w:val="20"/>
          <w:szCs w:val="20"/>
        </w:rPr>
        <w:t xml:space="preserve">Increased revenue by more than $200,000 in a single season by auditing misallocated ticket revenue and introducing dynamic pricing.</w:t>
      </w:r>
    </w:p>
    <w:p>
      <w:pPr>
        <w:pStyle w:val="ListParagraph"/>
        <w:numPr>
          <w:ilvl w:val="0"/>
          <w:numId w:val="2"/>
        </w:numPr>
        <w:spacing w:after="40"/>
      </w:pPr>
      <w:r>
        <w:rPr>
          <w:rFonts w:ascii="Calibri" w:cs="Calibri" w:eastAsia="Calibri" w:hAnsi="Calibri"/>
          <w:sz w:val="20"/>
          <w:szCs w:val="20"/>
        </w:rPr>
        <w:t xml:space="preserve">Exceeded the 10x10 New Play Festival sales goal of $90,000, generating $149,707 in earned income.</w:t>
      </w:r>
    </w:p>
    <w:p>
      <w:pPr>
        <w:pStyle w:val="ListParagraph"/>
        <w:numPr>
          <w:ilvl w:val="0"/>
          <w:numId w:val="2"/>
        </w:numPr>
        <w:spacing w:after="40"/>
      </w:pPr>
      <w:r>
        <w:rPr>
          <w:rFonts w:ascii="Calibri" w:cs="Calibri" w:eastAsia="Calibri" w:hAnsi="Calibri"/>
          <w:sz w:val="20"/>
          <w:szCs w:val="20"/>
        </w:rPr>
        <w:t xml:space="preserve">Negotiated and signed approximately 10 venue rental agreements per year and oversaw food and beverage ordering for rental events.</w:t>
      </w:r>
    </w:p>
    <w:p>
      <w:pPr>
        <w:pStyle w:val="ListParagraph"/>
        <w:numPr>
          <w:ilvl w:val="0"/>
          <w:numId w:val="2"/>
        </w:numPr>
        <w:spacing w:after="40"/>
      </w:pPr>
      <w:r>
        <w:rPr>
          <w:rFonts w:ascii="Calibri" w:cs="Calibri" w:eastAsia="Calibri" w:hAnsi="Calibri"/>
          <w:sz w:val="20"/>
          <w:szCs w:val="20"/>
        </w:rPr>
        <w:t xml:space="preserve">Coordinate with the Directors of Production and Facilities on safety, ADA compliance, repairs, and building systems including HVAC and electrical.</w:t>
      </w:r>
    </w:p>
    <w:p>
      <w:pPr>
        <w:pStyle w:val="ListParagraph"/>
        <w:numPr>
          <w:ilvl w:val="0"/>
          <w:numId w:val="2"/>
        </w:numPr>
        <w:spacing w:after="40"/>
      </w:pPr>
      <w:r>
        <w:rPr>
          <w:rFonts w:ascii="Calibri" w:cs="Calibri" w:eastAsia="Calibri" w:hAnsi="Calibri"/>
          <w:sz w:val="20"/>
          <w:szCs w:val="20"/>
        </w:rPr>
        <w:t xml:space="preserve">Handle strategic planning and budgeting for current and future seasons and for capital campaigns tied to a planned expansion of the physical campus.</w:t>
      </w:r>
    </w:p>
    <w:p>
      <w:pPr>
        <w:pStyle w:val="ListParagraph"/>
        <w:numPr>
          <w:ilvl w:val="0"/>
          <w:numId w:val="2"/>
        </w:numPr>
        <w:spacing w:after="40"/>
      </w:pPr>
      <w:r>
        <w:rPr>
          <w:rFonts w:ascii="Calibri" w:cs="Calibri" w:eastAsia="Calibri" w:hAnsi="Calibri"/>
          <w:sz w:val="20"/>
          <w:szCs w:val="20"/>
        </w:rPr>
        <w:t xml:space="preserve">Directed the end-to-end migration of 100,000+ patron records from Tessitura to Spektrix; designed a unified data structure with automated feedback loops and standardized reporting across departments.</w:t>
      </w:r>
    </w:p>
    <w:p>
      <w:pPr>
        <w:pStyle w:val="ListParagraph"/>
        <w:numPr>
          <w:ilvl w:val="0"/>
          <w:numId w:val="2"/>
        </w:numPr>
        <w:spacing w:after="40"/>
      </w:pPr>
      <w:r>
        <w:rPr>
          <w:rFonts w:ascii="Calibri" w:cs="Calibri" w:eastAsia="Calibri" w:hAnsi="Calibri"/>
          <w:sz w:val="20"/>
          <w:szCs w:val="20"/>
        </w:rPr>
        <w:t xml:space="preserve">Restructured a team of 20+ around a mentorship-first model and achieved 100% retention of mid-level staff.</w:t>
      </w:r>
    </w:p>
    <w:p>
      <w:pPr>
        <w:pStyle w:val="ListParagraph"/>
        <w:numPr>
          <w:ilvl w:val="0"/>
          <w:numId w:val="2"/>
        </w:numPr>
        <w:spacing w:after="40"/>
      </w:pPr>
      <w:r>
        <w:rPr>
          <w:rFonts w:ascii="Calibri" w:cs="Calibri" w:eastAsia="Calibri" w:hAnsi="Calibri"/>
          <w:sz w:val="20"/>
          <w:szCs w:val="20"/>
        </w:rPr>
        <w:t xml:space="preserve">Built a one-year roadmap to guide the organization through a leadership gap, using dynamic pricing and real-time analytics for fiscal accountability; created separate reporting for phone sales and for retail and concessions.</w:t>
      </w:r>
    </w:p>
    <w:p>
      <w:pPr>
        <w:pStyle w:val="ListParagraph"/>
        <w:numPr>
          <w:ilvl w:val="0"/>
          <w:numId w:val="2"/>
        </w:numPr>
        <w:spacing w:after="40"/>
      </w:pPr>
      <w:r>
        <w:rPr>
          <w:rFonts w:ascii="Calibri" w:cs="Calibri" w:eastAsia="Calibri" w:hAnsi="Calibri"/>
          <w:sz w:val="20"/>
          <w:szCs w:val="20"/>
        </w:rPr>
        <w:t xml:space="preserve">Developed a staff training program and third-party partnerships that raised earned-revenue conversion and strengthened volunteer engagement.</w:t>
      </w:r>
    </w:p>
    <w:p>
      <w:pPr>
        <w:pStyle w:val="ListParagraph"/>
        <w:numPr>
          <w:ilvl w:val="0"/>
          <w:numId w:val="2"/>
        </w:numPr>
        <w:spacing w:after="40"/>
      </w:pPr>
      <w:r>
        <w:rPr>
          <w:rFonts w:ascii="Calibri" w:cs="Calibri" w:eastAsia="Calibri" w:hAnsi="Calibri"/>
          <w:sz w:val="20"/>
          <w:szCs w:val="20"/>
        </w:rPr>
        <w:t xml:space="preserve">Hired into the role after serving as a consultant during a period of fundamental organizational change.</w:t>
      </w:r>
    </w:p>
    <w:p>
      <w:pPr>
        <w:keepNext/>
        <w:spacing w:after="20" w:before="140"/>
      </w:pPr>
      <w:r>
        <w:rPr>
          <w:rFonts w:ascii="Calibri" w:cs="Calibri" w:eastAsia="Calibri" w:hAnsi="Calibri"/>
          <w:b/>
          <w:bCs/>
          <w:sz w:val="20"/>
          <w:szCs w:val="20"/>
        </w:rPr>
        <w:t xml:space="preserve">Tracey Bonner Consultancy, LLC | Cincinnati, OH</w:t>
      </w:r>
    </w:p>
    <w:p>
      <w:pPr>
        <w:keepNext/>
        <w:spacing w:after="60"/>
      </w:pPr>
      <w:r>
        <w:rPr>
          <w:rFonts w:ascii="Calibri" w:cs="Calibri" w:eastAsia="Calibri" w:hAnsi="Calibri"/>
          <w:i/>
          <w:iCs/>
          <w:sz w:val="20"/>
          <w:szCs w:val="20"/>
        </w:rPr>
        <w:t xml:space="preserve">Principal | 2020-Present</w:t>
      </w:r>
    </w:p>
    <w:p>
      <w:pPr>
        <w:keepNext/>
        <w:spacing w:after="40" w:before="100"/>
      </w:pPr>
      <w:r>
        <w:rPr>
          <w:rFonts w:ascii="Calibri" w:cs="Calibri" w:eastAsia="Calibri" w:hAnsi="Calibri"/>
          <w:b/>
          <w:bCs/>
          <w:sz w:val="20"/>
          <w:szCs w:val="20"/>
        </w:rPr>
        <w:t xml:space="preserve">Strategic Real Estate and Financial Operations Lead and Co-Owner - DenMax Properties LLC</w:t>
      </w:r>
    </w:p>
    <w:p>
      <w:pPr>
        <w:pStyle w:val="ListParagraph"/>
        <w:numPr>
          <w:ilvl w:val="0"/>
          <w:numId w:val="2"/>
        </w:numPr>
        <w:spacing w:after="40"/>
      </w:pPr>
      <w:r>
        <w:rPr>
          <w:rFonts w:ascii="Calibri" w:cs="Calibri" w:eastAsia="Calibri" w:hAnsi="Calibri"/>
          <w:sz w:val="20"/>
          <w:szCs w:val="20"/>
        </w:rPr>
        <w:t xml:space="preserve">Manage the P&amp;L for a residential real estate portfolio whose value grew 104%, from $998K at acquisition to $2.03M+.</w:t>
      </w:r>
    </w:p>
    <w:p>
      <w:pPr>
        <w:pStyle w:val="ListParagraph"/>
        <w:numPr>
          <w:ilvl w:val="0"/>
          <w:numId w:val="2"/>
        </w:numPr>
        <w:spacing w:after="40"/>
      </w:pPr>
      <w:r>
        <w:rPr>
          <w:rFonts w:ascii="Calibri" w:cs="Calibri" w:eastAsia="Calibri" w:hAnsi="Calibri"/>
          <w:sz w:val="20"/>
          <w:szCs w:val="20"/>
        </w:rPr>
        <w:t xml:space="preserve">Direct full-lifecycle operations: capital improvements, maintenance oversight, vendor contracts, and tenant acquisition, in coordination with local property managers.</w:t>
      </w:r>
    </w:p>
    <w:p>
      <w:pPr>
        <w:keepNext/>
        <w:spacing w:after="40" w:before="100"/>
      </w:pPr>
      <w:r>
        <w:rPr>
          <w:rFonts w:ascii="Calibri" w:cs="Calibri" w:eastAsia="Calibri" w:hAnsi="Calibri"/>
          <w:b/>
          <w:bCs/>
          <w:sz w:val="20"/>
          <w:szCs w:val="20"/>
        </w:rPr>
        <w:t xml:space="preserve">Senior Outreach Liaison - Dance Data Project 2024-Present</w:t>
      </w:r>
    </w:p>
    <w:p>
      <w:pPr>
        <w:pStyle w:val="ListParagraph"/>
        <w:numPr>
          <w:ilvl w:val="0"/>
          <w:numId w:val="2"/>
        </w:numPr>
        <w:spacing w:after="40"/>
      </w:pPr>
      <w:r>
        <w:rPr>
          <w:rFonts w:ascii="Calibri" w:cs="Calibri" w:eastAsia="Calibri" w:hAnsi="Calibri"/>
          <w:sz w:val="20"/>
          <w:szCs w:val="20"/>
        </w:rPr>
        <w:t xml:space="preserve">Helped secure $100,000 in foundational funding to build DDP PRO, a free, searchable platform where companies and venues find female-identifying choreographers, composers, designers, and directors.</w:t>
      </w:r>
    </w:p>
    <w:p>
      <w:pPr>
        <w:pStyle w:val="ListParagraph"/>
        <w:numPr>
          <w:ilvl w:val="0"/>
          <w:numId w:val="2"/>
        </w:numPr>
        <w:spacing w:after="40"/>
      </w:pPr>
      <w:r>
        <w:rPr>
          <w:rFonts w:ascii="Calibri" w:cs="Calibri" w:eastAsia="Calibri" w:hAnsi="Calibri"/>
          <w:sz w:val="20"/>
          <w:szCs w:val="20"/>
        </w:rPr>
        <w:t xml:space="preserve">Built partnerships with corporations and Tier-1 universities; help publicize DDP PRO before launch; present nationally.</w:t>
      </w:r>
    </w:p>
    <w:p>
      <w:pPr>
        <w:keepNext/>
        <w:spacing w:after="40" w:before="100"/>
      </w:pPr>
      <w:r>
        <w:rPr>
          <w:rFonts w:ascii="Calibri" w:cs="Calibri" w:eastAsia="Calibri" w:hAnsi="Calibri"/>
          <w:b/>
          <w:bCs/>
          <w:sz w:val="20"/>
          <w:szCs w:val="20"/>
        </w:rPr>
        <w:t xml:space="preserve">Regional Adjudicator - National High School Musical Theatre Awards 2024-Present</w:t>
      </w:r>
    </w:p>
    <w:p>
      <w:pPr>
        <w:pStyle w:val="ListParagraph"/>
        <w:numPr>
          <w:ilvl w:val="0"/>
          <w:numId w:val="2"/>
        </w:numPr>
        <w:spacing w:after="40"/>
      </w:pPr>
      <w:r>
        <w:rPr>
          <w:rFonts w:ascii="Calibri" w:cs="Calibri" w:eastAsia="Calibri" w:hAnsi="Calibri"/>
          <w:sz w:val="20"/>
          <w:szCs w:val="20"/>
        </w:rPr>
        <w:t xml:space="preserve">Evaluate 15+ productions each year against national standards and deliver written assessments to regional producers.</w:t>
      </w:r>
    </w:p>
    <w:p>
      <w:pPr>
        <w:keepNext/>
        <w:spacing w:after="20" w:before="140"/>
      </w:pPr>
      <w:r>
        <w:rPr>
          <w:rFonts w:ascii="Calibri" w:cs="Calibri" w:eastAsia="Calibri" w:hAnsi="Calibri"/>
          <w:b/>
          <w:bCs/>
          <w:sz w:val="20"/>
          <w:szCs w:val="20"/>
        </w:rPr>
        <w:t xml:space="preserve">Jacob's Pillow Dance Festival | Becket, MA</w:t>
      </w:r>
    </w:p>
    <w:p>
      <w:pPr>
        <w:keepNext/>
        <w:spacing w:after="60"/>
      </w:pPr>
      <w:r>
        <w:rPr>
          <w:rFonts w:ascii="Calibri" w:cs="Calibri" w:eastAsia="Calibri" w:hAnsi="Calibri"/>
          <w:i/>
          <w:iCs/>
          <w:sz w:val="20"/>
          <w:szCs w:val="20"/>
        </w:rPr>
        <w:t xml:space="preserve">Director of Patron Services | 2022-2024</w:t>
      </w:r>
    </w:p>
    <w:p>
      <w:pPr>
        <w:pStyle w:val="ListParagraph"/>
        <w:numPr>
          <w:ilvl w:val="0"/>
          <w:numId w:val="2"/>
        </w:numPr>
        <w:spacing w:after="40"/>
      </w:pPr>
      <w:r>
        <w:rPr>
          <w:rFonts w:ascii="Calibri" w:cs="Calibri" w:eastAsia="Calibri" w:hAnsi="Calibri"/>
          <w:sz w:val="20"/>
          <w:szCs w:val="20"/>
        </w:rPr>
        <w:t xml:space="preserve">Designed and launched a tiered ticket-insurance program that protected outdoor performance revenue against weather cancellations for an $11.8M organization.</w:t>
      </w:r>
    </w:p>
    <w:p>
      <w:pPr>
        <w:pStyle w:val="ListParagraph"/>
        <w:numPr>
          <w:ilvl w:val="0"/>
          <w:numId w:val="2"/>
        </w:numPr>
        <w:spacing w:after="40"/>
      </w:pPr>
      <w:r>
        <w:rPr>
          <w:rFonts w:ascii="Calibri" w:cs="Calibri" w:eastAsia="Calibri" w:hAnsi="Calibri"/>
          <w:sz w:val="20"/>
          <w:szCs w:val="20"/>
        </w:rPr>
        <w:t xml:space="preserve">Led a team of 30+ across box office, ticketing, call center, retail, and front of house for a professional dance festival, including hiring and managing seasonal staff and interns and staffing venue rentals.</w:t>
      </w:r>
    </w:p>
    <w:p>
      <w:pPr>
        <w:pStyle w:val="ListParagraph"/>
        <w:numPr>
          <w:ilvl w:val="0"/>
          <w:numId w:val="2"/>
        </w:numPr>
        <w:spacing w:after="40"/>
      </w:pPr>
      <w:r>
        <w:rPr>
          <w:rFonts w:ascii="Calibri" w:cs="Calibri" w:eastAsia="Calibri" w:hAnsi="Calibri"/>
          <w:sz w:val="20"/>
          <w:szCs w:val="20"/>
        </w:rPr>
        <w:t xml:space="preserve">Worked with the senior management team (IT, Philanthropy, Community Engagement, Production, Archives) on planning and budgeting for future seasons and for capital campaigns supporting a planned campus expansion.</w:t>
      </w:r>
    </w:p>
    <w:p>
      <w:pPr>
        <w:pStyle w:val="ListParagraph"/>
        <w:numPr>
          <w:ilvl w:val="0"/>
          <w:numId w:val="2"/>
        </w:numPr>
        <w:spacing w:after="40"/>
      </w:pPr>
      <w:r>
        <w:rPr>
          <w:rFonts w:ascii="Calibri" w:cs="Calibri" w:eastAsia="Calibri" w:hAnsi="Calibri"/>
          <w:sz w:val="20"/>
          <w:szCs w:val="20"/>
        </w:rPr>
        <w:t xml:space="preserve">Rebuilt ticketing and donor data operations and wrote SOPs for peak-season volume and real-time inventory control across a high-traffic festival season.</w:t>
      </w:r>
    </w:p>
    <w:p>
      <w:pPr>
        <w:keepNext/>
        <w:spacing w:after="20" w:before="140"/>
      </w:pPr>
      <w:r>
        <w:rPr>
          <w:rFonts w:ascii="Calibri" w:cs="Calibri" w:eastAsia="Calibri" w:hAnsi="Calibri"/>
          <w:b/>
          <w:bCs/>
          <w:sz w:val="20"/>
          <w:szCs w:val="20"/>
        </w:rPr>
        <w:t xml:space="preserve">Dayton Performing Arts Alliance | Dayton, OH</w:t>
      </w:r>
    </w:p>
    <w:p>
      <w:pPr>
        <w:keepNext/>
        <w:spacing w:after="60"/>
      </w:pPr>
      <w:r>
        <w:rPr>
          <w:rFonts w:ascii="Calibri" w:cs="Calibri" w:eastAsia="Calibri" w:hAnsi="Calibri"/>
          <w:i/>
          <w:iCs/>
          <w:sz w:val="20"/>
          <w:szCs w:val="20"/>
        </w:rPr>
        <w:t xml:space="preserve">Director of Donor Relations | 2022</w:t>
      </w:r>
    </w:p>
    <w:p>
      <w:pPr>
        <w:pStyle w:val="ListParagraph"/>
        <w:numPr>
          <w:ilvl w:val="0"/>
          <w:numId w:val="2"/>
        </w:numPr>
        <w:spacing w:after="40"/>
      </w:pPr>
      <w:r>
        <w:rPr>
          <w:rFonts w:ascii="Calibri" w:cs="Calibri" w:eastAsia="Calibri" w:hAnsi="Calibri"/>
          <w:sz w:val="20"/>
          <w:szCs w:val="20"/>
        </w:rPr>
        <w:t xml:space="preserve">Raised more than $225,000, including a $75,000 National Endowment for the Arts grant and $150,000 in major gifts, for an $8.3M organization.</w:t>
      </w:r>
    </w:p>
    <w:p>
      <w:pPr>
        <w:pStyle w:val="ListParagraph"/>
        <w:numPr>
          <w:ilvl w:val="0"/>
          <w:numId w:val="2"/>
        </w:numPr>
        <w:spacing w:after="40"/>
      </w:pPr>
      <w:r>
        <w:rPr>
          <w:rFonts w:ascii="Calibri" w:cs="Calibri" w:eastAsia="Calibri" w:hAnsi="Calibri"/>
          <w:sz w:val="20"/>
          <w:szCs w:val="20"/>
        </w:rPr>
        <w:t xml:space="preserve">Consolidated three separate brand programs into a single donor benefit structure and grew the $25K-$250K mid-level pipeline 10% in six months.</w:t>
      </w:r>
    </w:p>
    <w:p>
      <w:pPr>
        <w:pStyle w:val="ListParagraph"/>
        <w:numPr>
          <w:ilvl w:val="0"/>
          <w:numId w:val="2"/>
        </w:numPr>
        <w:spacing w:after="40"/>
      </w:pPr>
      <w:r>
        <w:rPr>
          <w:rFonts w:ascii="Calibri" w:cs="Calibri" w:eastAsia="Calibri" w:hAnsi="Calibri"/>
          <w:sz w:val="20"/>
          <w:szCs w:val="20"/>
        </w:rPr>
        <w:t xml:space="preserve">Led the Annual Fund and major gift work and kept the department running with two staff in place of four during a restructure.</w:t>
      </w:r>
    </w:p>
    <w:p>
      <w:pPr>
        <w:keepNext/>
        <w:spacing w:after="20" w:before="140"/>
      </w:pPr>
      <w:r>
        <w:rPr>
          <w:rFonts w:ascii="Calibri" w:cs="Calibri" w:eastAsia="Calibri" w:hAnsi="Calibri"/>
          <w:b/>
          <w:bCs/>
          <w:sz w:val="20"/>
          <w:szCs w:val="20"/>
        </w:rPr>
        <w:t xml:space="preserve">Northern Kentucky University | Highland Heights, KY</w:t>
      </w:r>
    </w:p>
    <w:p>
      <w:pPr>
        <w:keepNext/>
        <w:spacing w:after="60"/>
      </w:pPr>
      <w:r>
        <w:rPr>
          <w:rFonts w:ascii="Calibri" w:cs="Calibri" w:eastAsia="Calibri" w:hAnsi="Calibri"/>
          <w:i/>
          <w:iCs/>
          <w:sz w:val="20"/>
          <w:szCs w:val="20"/>
        </w:rPr>
        <w:t xml:space="preserve">Dance Director, BFA Dance Track, and Associate Professor of Dance (Tenured) | 2014-2022</w:t>
      </w:r>
    </w:p>
    <w:p>
      <w:pPr>
        <w:pStyle w:val="ListParagraph"/>
        <w:numPr>
          <w:ilvl w:val="0"/>
          <w:numId w:val="2"/>
        </w:numPr>
        <w:spacing w:after="40"/>
      </w:pPr>
      <w:r>
        <w:rPr>
          <w:rFonts w:ascii="Calibri" w:cs="Calibri" w:eastAsia="Calibri" w:hAnsi="Calibri"/>
          <w:sz w:val="20"/>
          <w:szCs w:val="20"/>
        </w:rPr>
        <w:t xml:space="preserve">Grew the program from 4 to 35 majors between 2014 and 2020 by redesigning recruitment and retention processes.</w:t>
      </w:r>
    </w:p>
    <w:p>
      <w:pPr>
        <w:pStyle w:val="ListParagraph"/>
        <w:numPr>
          <w:ilvl w:val="0"/>
          <w:numId w:val="2"/>
        </w:numPr>
        <w:spacing w:after="40"/>
      </w:pPr>
      <w:r>
        <w:rPr>
          <w:rFonts w:ascii="Calibri" w:cs="Calibri" w:eastAsia="Calibri" w:hAnsi="Calibri"/>
          <w:sz w:val="20"/>
          <w:szCs w:val="20"/>
        </w:rPr>
        <w:t xml:space="preserve">Served as strategic lead on a $1.5M capital campaign for a new dance studio facility, opened in 2019.</w:t>
      </w:r>
    </w:p>
    <w:p>
      <w:pPr>
        <w:pStyle w:val="ListParagraph"/>
        <w:numPr>
          <w:ilvl w:val="0"/>
          <w:numId w:val="2"/>
        </w:numPr>
        <w:spacing w:after="40"/>
      </w:pPr>
      <w:r>
        <w:rPr>
          <w:rFonts w:ascii="Calibri" w:cs="Calibri" w:eastAsia="Calibri" w:hAnsi="Calibri"/>
          <w:sz w:val="20"/>
          <w:szCs w:val="20"/>
        </w:rPr>
        <w:t xml:space="preserve">Designed the university’s and region’s first BFA in Dance Education, approved in 2021.</w:t>
      </w:r>
    </w:p>
    <w:p>
      <w:pPr>
        <w:pStyle w:val="ListParagraph"/>
        <w:numPr>
          <w:ilvl w:val="0"/>
          <w:numId w:val="2"/>
        </w:numPr>
        <w:spacing w:after="40"/>
      </w:pPr>
      <w:r>
        <w:rPr>
          <w:rFonts w:ascii="Calibri" w:cs="Calibri" w:eastAsia="Calibri" w:hAnsi="Calibri"/>
          <w:sz w:val="20"/>
          <w:szCs w:val="20"/>
        </w:rPr>
        <w:t xml:space="preserve">Built cross-campus partnerships: a grant-funded Chemistry collaboration, African dance as a required course and part of the Black Studies minor, and a Sociology performance on the story of Margaret Garner.</w:t>
      </w:r>
    </w:p>
    <w:p>
      <w:pPr>
        <w:pStyle w:val="ListParagraph"/>
        <w:numPr>
          <w:ilvl w:val="0"/>
          <w:numId w:val="2"/>
        </w:numPr>
        <w:spacing w:after="40"/>
      </w:pPr>
      <w:r>
        <w:rPr>
          <w:rFonts w:ascii="Calibri" w:cs="Calibri" w:eastAsia="Calibri" w:hAnsi="Calibri"/>
          <w:sz w:val="20"/>
          <w:szCs w:val="20"/>
        </w:rPr>
        <w:t xml:space="preserve">Served as artistic director of the annual dance concert (2015-2022) and the student choreographers’ showcases.</w:t>
      </w:r>
    </w:p>
    <w:p>
      <w:pPr>
        <w:pStyle w:val="ListParagraph"/>
        <w:numPr>
          <w:ilvl w:val="0"/>
          <w:numId w:val="2"/>
        </w:numPr>
        <w:spacing w:after="40"/>
      </w:pPr>
      <w:r>
        <w:rPr>
          <w:rFonts w:ascii="Calibri" w:cs="Calibri" w:eastAsia="Calibri" w:hAnsi="Calibri"/>
          <w:sz w:val="20"/>
          <w:szCs w:val="20"/>
        </w:rPr>
        <w:t xml:space="preserve">Coordinated a weeklong Paul Taylor Dance Company residency, including a produced concert, classes for 300+ undergraduates, and community classes for 100+ local high school dancers.</w:t>
      </w:r>
    </w:p>
    <w:p>
      <w:pPr>
        <w:pStyle w:val="ListParagraph"/>
        <w:numPr>
          <w:ilvl w:val="0"/>
          <w:numId w:val="2"/>
        </w:numPr>
        <w:spacing w:after="40"/>
      </w:pPr>
      <w:r>
        <w:rPr>
          <w:rFonts w:ascii="Calibri" w:cs="Calibri" w:eastAsia="Calibri" w:hAnsi="Calibri"/>
          <w:sz w:val="20"/>
          <w:szCs w:val="20"/>
        </w:rPr>
        <w:t xml:space="preserve">Co-chaired the College’s Inclusive Excellence Committee (2018-2022) and served on Faculty Senate (2020-2023).</w:t>
      </w:r>
    </w:p>
    <w:p>
      <w:pPr>
        <w:pStyle w:val="ListParagraph"/>
        <w:numPr>
          <w:ilvl w:val="0"/>
          <w:numId w:val="2"/>
        </w:numPr>
        <w:spacing w:after="40"/>
      </w:pPr>
      <w:r>
        <w:rPr>
          <w:rFonts w:ascii="Calibri" w:cs="Calibri" w:eastAsia="Calibri" w:hAnsi="Calibri"/>
          <w:sz w:val="20"/>
          <w:szCs w:val="20"/>
        </w:rPr>
        <w:t xml:space="preserve">Earlier faculty posts: University of Memphis, Colorado Mesa, UC Irvine, Azusa Pacific, MiraCosta College.</w:t>
      </w:r>
    </w:p>
    <w:p>
      <w:pPr>
        <w:pBdr>
          <w:bottom w:val="single" w:color="000000" w:sz="6" w:space="2"/>
        </w:pBdr>
        <w:spacing w:after="100" w:before="200"/>
      </w:pPr>
      <w:r>
        <w:rPr>
          <w:rFonts w:ascii="Calibri" w:cs="Calibri" w:eastAsia="Calibri" w:hAnsi="Calibri"/>
          <w:b/>
          <w:bCs/>
          <w:caps/>
          <w:sz w:val="22"/>
          <w:szCs w:val="22"/>
        </w:rPr>
        <w:t xml:space="preserve">Scholarship, Performance, and Service</w:t>
      </w:r>
    </w:p>
    <w:p>
      <w:pPr>
        <w:pStyle w:val="ListParagraph"/>
        <w:numPr>
          <w:ilvl w:val="0"/>
          <w:numId w:val="2"/>
        </w:numPr>
        <w:spacing w:after="40"/>
      </w:pPr>
      <w:r>
        <w:rPr>
          <w:rFonts w:ascii="Calibri" w:cs="Calibri" w:eastAsia="Calibri" w:hAnsi="Calibri"/>
          <w:sz w:val="20"/>
          <w:szCs w:val="20"/>
        </w:rPr>
        <w:t xml:space="preserve">Author, "Those Dancing Feet! Musical Theatre Dance as an Ethnographic Identifier," Journal of Dance Education, 22(1), 2022.</w:t>
      </w:r>
    </w:p>
    <w:p>
      <w:pPr>
        <w:pStyle w:val="ListParagraph"/>
        <w:numPr>
          <w:ilvl w:val="0"/>
          <w:numId w:val="2"/>
        </w:numPr>
        <w:spacing w:after="40"/>
      </w:pPr>
      <w:r>
        <w:rPr>
          <w:rFonts w:ascii="Calibri" w:cs="Calibri" w:eastAsia="Calibri" w:hAnsi="Calibri"/>
          <w:sz w:val="20"/>
          <w:szCs w:val="20"/>
        </w:rPr>
        <w:t xml:space="preserve">Research presentations at national conferences including Women in Dance (2022, 2024), the Pop Culture Association (2017, 2018), the National Dance Education Organization (2016), and the American College Dance Association (2014, 2015, 2017).</w:t>
      </w:r>
    </w:p>
    <w:p>
      <w:pPr>
        <w:pStyle w:val="ListParagraph"/>
        <w:numPr>
          <w:ilvl w:val="0"/>
          <w:numId w:val="2"/>
        </w:numPr>
        <w:spacing w:after="40"/>
      </w:pPr>
      <w:r>
        <w:rPr>
          <w:rFonts w:ascii="Calibri" w:cs="Calibri" w:eastAsia="Calibri" w:hAnsi="Calibri"/>
          <w:sz w:val="20"/>
          <w:szCs w:val="20"/>
        </w:rPr>
        <w:t xml:space="preserve">Led a three-day musical theatre dance residency at Northwestern State University, Natchitoches, LA, 2025.</w:t>
      </w:r>
    </w:p>
    <w:p>
      <w:pPr>
        <w:pStyle w:val="ListParagraph"/>
        <w:numPr>
          <w:ilvl w:val="0"/>
          <w:numId w:val="2"/>
        </w:numPr>
        <w:spacing w:after="40"/>
      </w:pPr>
      <w:r>
        <w:rPr>
          <w:rFonts w:ascii="Calibri" w:cs="Calibri" w:eastAsia="Calibri" w:hAnsi="Calibri"/>
          <w:sz w:val="20"/>
          <w:szCs w:val="20"/>
        </w:rPr>
        <w:t xml:space="preserve">Al Smith Artistic Fellowship (Emerging Choreographers Grant), Kentucky Arts Council, 2016.</w:t>
      </w:r>
    </w:p>
    <w:p>
      <w:pPr>
        <w:pStyle w:val="ListParagraph"/>
        <w:numPr>
          <w:ilvl w:val="0"/>
          <w:numId w:val="2"/>
        </w:numPr>
        <w:spacing w:after="40"/>
      </w:pPr>
      <w:r>
        <w:rPr>
          <w:rFonts w:ascii="Calibri" w:cs="Calibri" w:eastAsia="Calibri" w:hAnsi="Calibri"/>
          <w:sz w:val="20"/>
          <w:szCs w:val="20"/>
        </w:rPr>
        <w:t xml:space="preserve">Board member, Greater Cincinnati Dance Alliance (2021-2024); adjudicator, Ovation Awards, Cincinnati Arts Association (2015-Present).</w:t>
      </w:r>
    </w:p>
    <w:p>
      <w:pPr>
        <w:pStyle w:val="ListParagraph"/>
        <w:numPr>
          <w:ilvl w:val="0"/>
          <w:numId w:val="2"/>
        </w:numPr>
        <w:spacing w:after="40"/>
      </w:pPr>
      <w:r>
        <w:rPr>
          <w:rFonts w:ascii="Calibri" w:cs="Calibri" w:eastAsia="Calibri" w:hAnsi="Calibri"/>
          <w:sz w:val="20"/>
          <w:szCs w:val="20"/>
        </w:rPr>
        <w:t xml:space="preserve">Professional performer (Actors’ Equity Association member since 1997), 1997-2007, including national and international tours of A Chorus Line, West Side Story, and Show Boat.</w:t>
      </w:r>
    </w:p>
    <w:p>
      <w:pPr>
        <w:pBdr>
          <w:bottom w:val="single" w:color="000000" w:sz="6" w:space="2"/>
        </w:pBdr>
        <w:spacing w:after="100" w:before="200"/>
      </w:pPr>
      <w:r>
        <w:rPr>
          <w:rFonts w:ascii="Calibri" w:cs="Calibri" w:eastAsia="Calibri" w:hAnsi="Calibri"/>
          <w:b/>
          <w:bCs/>
          <w:caps/>
          <w:sz w:val="22"/>
          <w:szCs w:val="22"/>
        </w:rPr>
        <w:t xml:space="preserve">Education and Certifications</w:t>
      </w:r>
    </w:p>
    <w:p>
      <w:pPr>
        <w:spacing w:after="80"/>
      </w:pPr>
      <w:r>
        <w:rPr>
          <w:rFonts w:ascii="Calibri" w:cs="Calibri" w:eastAsia="Calibri" w:hAnsi="Calibri"/>
          <w:sz w:val="20"/>
          <w:szCs w:val="20"/>
        </w:rPr>
        <w:t xml:space="preserve">MFA, Arts Administration and Choreography, Summa Cum Laude | University of California, Irvine</w:t>
      </w:r>
    </w:p>
    <w:p>
      <w:pPr>
        <w:spacing w:after="80"/>
      </w:pPr>
      <w:r>
        <w:rPr>
          <w:rFonts w:ascii="Calibri" w:cs="Calibri" w:eastAsia="Calibri" w:hAnsi="Calibri"/>
          <w:sz w:val="20"/>
          <w:szCs w:val="20"/>
        </w:rPr>
        <w:t xml:space="preserve">BFA, Musical Theatre Performance, Dance Minor | Shenandoah Conservatory</w:t>
      </w:r>
    </w:p>
    <w:p>
      <w:pPr>
        <w:spacing w:after="40"/>
      </w:pPr>
      <w:r>
        <w:rPr>
          <w:rFonts w:ascii="Calibri" w:cs="Calibri" w:eastAsia="Calibri" w:hAnsi="Calibri"/>
          <w:sz w:val="20"/>
          <w:szCs w:val="20"/>
        </w:rPr>
        <w:t xml:space="preserve">Veritus Fundraising Certification | 2022</w:t>
      </w:r>
    </w:p>
    <w:sectPr>
      <w:pgSz w:w="12240" w:h="15840" w:orient="portrait"/>
      <w:pgMar w:top="640" w:right="860" w:bottom="640" w:left="8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2026-09-21T19:01:14.417Z</dcterms:created>
  <dcterms:modified xsi:type="dcterms:W3CDTF">2026-09-21T19:01:14.426Z</dcterms:modified>
</cp:coreProperties>
</file>

<file path=docProps/custom.xml><?xml version="1.0" encoding="utf-8"?>
<Properties xmlns="http://schemas.openxmlformats.org/officeDocument/2006/custom-properties" xmlns:vt="http://schemas.openxmlformats.org/officeDocument/2006/docPropsVTypes"/>
</file>